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2A1" w:rsidRPr="003A655C" w:rsidRDefault="003A655C" w:rsidP="003A655C">
      <w:pPr>
        <w:spacing w:after="120"/>
        <w:jc w:val="both"/>
        <w:rPr>
          <w:rFonts w:ascii="Cambria" w:hAnsi="Cambria"/>
          <w:sz w:val="22"/>
          <w:szCs w:val="22"/>
        </w:rPr>
      </w:pPr>
      <w:r w:rsidRPr="003A655C">
        <w:rPr>
          <w:rFonts w:ascii="Cambria" w:eastAsia="Arial" w:hAnsi="Cambria" w:cs="Arial"/>
          <w:b/>
          <w:bCs/>
          <w:color w:val="1F4E79"/>
          <w:sz w:val="22"/>
          <w:szCs w:val="22"/>
        </w:rPr>
        <w:t>SAAKSHI MEDTECH AND PANELS LIMITED</w:t>
      </w:r>
    </w:p>
    <w:p w:rsidR="004172A1" w:rsidRPr="003A655C" w:rsidRDefault="003A655C" w:rsidP="003A655C">
      <w:pPr>
        <w:spacing w:before="240" w:after="120"/>
        <w:jc w:val="both"/>
        <w:rPr>
          <w:rFonts w:ascii="Cambria" w:hAnsi="Cambria"/>
          <w:sz w:val="22"/>
          <w:szCs w:val="22"/>
        </w:rPr>
      </w:pPr>
      <w:r w:rsidRPr="003A655C">
        <w:rPr>
          <w:rFonts w:ascii="Cambria" w:eastAsia="Arial" w:hAnsi="Cambria" w:cs="Arial"/>
          <w:b/>
          <w:bCs/>
          <w:color w:val="1F4E79"/>
          <w:sz w:val="22"/>
          <w:szCs w:val="22"/>
        </w:rPr>
        <w:t>NOMINATION AND REMUNERATION COMMITTEE</w:t>
      </w:r>
    </w:p>
    <w:p w:rsidR="004172A1" w:rsidRPr="003A655C" w:rsidRDefault="003A655C" w:rsidP="003A655C">
      <w:pPr>
        <w:spacing w:after="80"/>
        <w:jc w:val="both"/>
        <w:rPr>
          <w:rFonts w:ascii="Cambria" w:hAnsi="Cambria"/>
          <w:sz w:val="22"/>
          <w:szCs w:val="22"/>
        </w:rPr>
      </w:pPr>
      <w:r w:rsidRPr="003A655C">
        <w:rPr>
          <w:rFonts w:ascii="Cambria" w:eastAsia="Arial" w:hAnsi="Cambria" w:cs="Arial"/>
          <w:sz w:val="22"/>
          <w:szCs w:val="22"/>
        </w:rPr>
        <w:t>Our Company at its Board Meeting held on June 23, 2023 has approved the constitution of Nomination and Remuneration Committee in compliance with the provisions of Section 178, Schedule V and all other applicable provisions of the Companies Act, 2013 read w</w:t>
      </w:r>
      <w:r w:rsidRPr="003A655C">
        <w:rPr>
          <w:rFonts w:ascii="Cambria" w:eastAsia="Arial" w:hAnsi="Cambria" w:cs="Arial"/>
          <w:sz w:val="22"/>
          <w:szCs w:val="22"/>
        </w:rPr>
        <w:t>ith Rule 6 of the Companies (Meetings of Board and its Power) Rules, 2014 and Regulation 19 of SEBI Listing Regulations. The Committee comprises following members:</w:t>
      </w:r>
    </w:p>
    <w:p w:rsidR="004172A1" w:rsidRPr="003A655C" w:rsidRDefault="004172A1" w:rsidP="003A655C">
      <w:pPr>
        <w:spacing w:before="160" w:after="160"/>
        <w:jc w:val="both"/>
        <w:rPr>
          <w:rFonts w:ascii="Cambria" w:hAnsi="Cambria"/>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4172A1" w:rsidRPr="003A655C">
        <w:tblPrEx>
          <w:tblCellMar>
            <w:top w:w="0" w:type="dxa"/>
            <w:bottom w:w="0" w:type="dxa"/>
          </w:tblCellMar>
        </w:tblPrEx>
        <w:trPr>
          <w:tblHeader/>
        </w:trPr>
        <w:tc>
          <w:tcPr>
            <w:tcW w:w="312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rsidR="004172A1" w:rsidRPr="003A655C" w:rsidRDefault="003A655C" w:rsidP="003A655C">
            <w:pPr>
              <w:jc w:val="both"/>
              <w:rPr>
                <w:rFonts w:ascii="Cambria" w:hAnsi="Cambria"/>
                <w:sz w:val="22"/>
                <w:szCs w:val="22"/>
              </w:rPr>
            </w:pPr>
            <w:r w:rsidRPr="003A655C">
              <w:rPr>
                <w:rFonts w:ascii="Cambria" w:eastAsia="Arial" w:hAnsi="Cambria" w:cs="Arial"/>
                <w:b/>
                <w:bCs/>
                <w:color w:val="FFFFFF"/>
                <w:sz w:val="22"/>
                <w:szCs w:val="22"/>
              </w:rPr>
              <w:t>Name of the Director</w:t>
            </w:r>
          </w:p>
        </w:tc>
        <w:tc>
          <w:tcPr>
            <w:tcW w:w="312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rsidR="004172A1" w:rsidRPr="003A655C" w:rsidRDefault="003A655C" w:rsidP="003A655C">
            <w:pPr>
              <w:jc w:val="both"/>
              <w:rPr>
                <w:rFonts w:ascii="Cambria" w:hAnsi="Cambria"/>
                <w:sz w:val="22"/>
                <w:szCs w:val="22"/>
              </w:rPr>
            </w:pPr>
            <w:r w:rsidRPr="003A655C">
              <w:rPr>
                <w:rFonts w:ascii="Cambria" w:eastAsia="Arial" w:hAnsi="Cambria" w:cs="Arial"/>
                <w:b/>
                <w:bCs/>
                <w:color w:val="FFFFFF"/>
                <w:sz w:val="22"/>
                <w:szCs w:val="22"/>
              </w:rPr>
              <w:t>Status in Committee</w:t>
            </w:r>
          </w:p>
        </w:tc>
        <w:tc>
          <w:tcPr>
            <w:tcW w:w="312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rsidR="004172A1" w:rsidRPr="003A655C" w:rsidRDefault="003A655C" w:rsidP="003A655C">
            <w:pPr>
              <w:jc w:val="both"/>
              <w:rPr>
                <w:rFonts w:ascii="Cambria" w:hAnsi="Cambria"/>
                <w:sz w:val="22"/>
                <w:szCs w:val="22"/>
              </w:rPr>
            </w:pPr>
            <w:r w:rsidRPr="003A655C">
              <w:rPr>
                <w:rFonts w:ascii="Cambria" w:eastAsia="Arial" w:hAnsi="Cambria" w:cs="Arial"/>
                <w:b/>
                <w:bCs/>
                <w:color w:val="FFFFFF"/>
                <w:sz w:val="22"/>
                <w:szCs w:val="22"/>
              </w:rPr>
              <w:t>Nature of Directorship</w:t>
            </w:r>
          </w:p>
        </w:tc>
      </w:tr>
      <w:tr w:rsidR="004172A1" w:rsidRPr="003A655C">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4172A1" w:rsidRPr="003A655C" w:rsidRDefault="003A655C" w:rsidP="003A655C">
            <w:pPr>
              <w:jc w:val="both"/>
              <w:rPr>
                <w:rFonts w:ascii="Cambria" w:hAnsi="Cambria"/>
                <w:sz w:val="22"/>
                <w:szCs w:val="22"/>
              </w:rPr>
            </w:pPr>
            <w:r w:rsidRPr="003A655C">
              <w:rPr>
                <w:rFonts w:ascii="Cambria" w:eastAsia="Arial" w:hAnsi="Cambria" w:cs="Arial"/>
                <w:sz w:val="22"/>
                <w:szCs w:val="22"/>
              </w:rPr>
              <w:t xml:space="preserve">Amit </w:t>
            </w:r>
            <w:proofErr w:type="spellStart"/>
            <w:r w:rsidRPr="003A655C">
              <w:rPr>
                <w:rFonts w:ascii="Cambria" w:eastAsia="Arial" w:hAnsi="Cambria" w:cs="Arial"/>
                <w:sz w:val="22"/>
                <w:szCs w:val="22"/>
              </w:rPr>
              <w:t>Yashavant</w:t>
            </w:r>
            <w:proofErr w:type="spellEnd"/>
            <w:r w:rsidRPr="003A655C">
              <w:rPr>
                <w:rFonts w:ascii="Cambria" w:eastAsia="Arial" w:hAnsi="Cambria" w:cs="Arial"/>
                <w:sz w:val="22"/>
                <w:szCs w:val="22"/>
              </w:rPr>
              <w:t xml:space="preserve"> </w:t>
            </w:r>
            <w:proofErr w:type="spellStart"/>
            <w:r w:rsidRPr="003A655C">
              <w:rPr>
                <w:rFonts w:ascii="Cambria" w:eastAsia="Arial" w:hAnsi="Cambria" w:cs="Arial"/>
                <w:sz w:val="22"/>
                <w:szCs w:val="22"/>
              </w:rPr>
              <w:t>Ghaisas</w:t>
            </w:r>
            <w:proofErr w:type="spellEnd"/>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4172A1" w:rsidRPr="003A655C" w:rsidRDefault="003A655C" w:rsidP="003A655C">
            <w:pPr>
              <w:jc w:val="both"/>
              <w:rPr>
                <w:rFonts w:ascii="Cambria" w:hAnsi="Cambria"/>
                <w:sz w:val="22"/>
                <w:szCs w:val="22"/>
              </w:rPr>
            </w:pPr>
            <w:r w:rsidRPr="003A655C">
              <w:rPr>
                <w:rFonts w:ascii="Cambria" w:eastAsia="Arial" w:hAnsi="Cambria" w:cs="Arial"/>
                <w:sz w:val="22"/>
                <w:szCs w:val="22"/>
              </w:rPr>
              <w:t>Cha</w:t>
            </w:r>
            <w:r w:rsidRPr="003A655C">
              <w:rPr>
                <w:rFonts w:ascii="Cambria" w:eastAsia="Arial" w:hAnsi="Cambria" w:cs="Arial"/>
                <w:sz w:val="22"/>
                <w:szCs w:val="22"/>
              </w:rPr>
              <w:t>irman</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4172A1" w:rsidRPr="003A655C" w:rsidRDefault="003A655C" w:rsidP="003A655C">
            <w:pPr>
              <w:jc w:val="both"/>
              <w:rPr>
                <w:rFonts w:ascii="Cambria" w:hAnsi="Cambria"/>
                <w:sz w:val="22"/>
                <w:szCs w:val="22"/>
              </w:rPr>
            </w:pPr>
            <w:r w:rsidRPr="003A655C">
              <w:rPr>
                <w:rFonts w:ascii="Cambria" w:eastAsia="Arial" w:hAnsi="Cambria" w:cs="Arial"/>
                <w:sz w:val="22"/>
                <w:szCs w:val="22"/>
              </w:rPr>
              <w:t>Independent Director</w:t>
            </w:r>
          </w:p>
        </w:tc>
      </w:tr>
      <w:tr w:rsidR="004172A1" w:rsidRPr="003A655C">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4172A1" w:rsidRPr="003A655C" w:rsidRDefault="003A655C" w:rsidP="003A655C">
            <w:pPr>
              <w:jc w:val="both"/>
              <w:rPr>
                <w:rFonts w:ascii="Cambria" w:hAnsi="Cambria"/>
                <w:sz w:val="22"/>
                <w:szCs w:val="22"/>
              </w:rPr>
            </w:pPr>
            <w:proofErr w:type="spellStart"/>
            <w:r w:rsidRPr="003A655C">
              <w:rPr>
                <w:rFonts w:ascii="Cambria" w:eastAsia="Arial" w:hAnsi="Cambria" w:cs="Arial"/>
                <w:sz w:val="22"/>
                <w:szCs w:val="22"/>
              </w:rPr>
              <w:t>Vishvas</w:t>
            </w:r>
            <w:proofErr w:type="spellEnd"/>
            <w:r w:rsidRPr="003A655C">
              <w:rPr>
                <w:rFonts w:ascii="Cambria" w:eastAsia="Arial" w:hAnsi="Cambria" w:cs="Arial"/>
                <w:sz w:val="22"/>
                <w:szCs w:val="22"/>
              </w:rPr>
              <w:t xml:space="preserve"> </w:t>
            </w:r>
            <w:proofErr w:type="spellStart"/>
            <w:r w:rsidRPr="003A655C">
              <w:rPr>
                <w:rFonts w:ascii="Cambria" w:eastAsia="Arial" w:hAnsi="Cambria" w:cs="Arial"/>
                <w:sz w:val="22"/>
                <w:szCs w:val="22"/>
              </w:rPr>
              <w:t>Vinayak</w:t>
            </w:r>
            <w:proofErr w:type="spellEnd"/>
            <w:r w:rsidRPr="003A655C">
              <w:rPr>
                <w:rFonts w:ascii="Cambria" w:eastAsia="Arial" w:hAnsi="Cambria" w:cs="Arial"/>
                <w:sz w:val="22"/>
                <w:szCs w:val="22"/>
              </w:rPr>
              <w:t xml:space="preserve"> </w:t>
            </w:r>
            <w:proofErr w:type="spellStart"/>
            <w:r w:rsidRPr="003A655C">
              <w:rPr>
                <w:rFonts w:ascii="Cambria" w:eastAsia="Arial" w:hAnsi="Cambria" w:cs="Arial"/>
                <w:sz w:val="22"/>
                <w:szCs w:val="22"/>
              </w:rPr>
              <w:t>Palande</w:t>
            </w:r>
            <w:proofErr w:type="spellEnd"/>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4172A1" w:rsidRPr="003A655C" w:rsidRDefault="003A655C" w:rsidP="003A655C">
            <w:pPr>
              <w:jc w:val="both"/>
              <w:rPr>
                <w:rFonts w:ascii="Cambria" w:hAnsi="Cambria"/>
                <w:sz w:val="22"/>
                <w:szCs w:val="22"/>
              </w:rPr>
            </w:pPr>
            <w:r w:rsidRPr="003A655C">
              <w:rPr>
                <w:rFonts w:ascii="Cambria" w:eastAsia="Arial" w:hAnsi="Cambria" w:cs="Arial"/>
                <w:sz w:val="22"/>
                <w:szCs w:val="22"/>
              </w:rPr>
              <w:t>Member</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4172A1" w:rsidRPr="003A655C" w:rsidRDefault="003A655C" w:rsidP="003A655C">
            <w:pPr>
              <w:jc w:val="both"/>
              <w:rPr>
                <w:rFonts w:ascii="Cambria" w:hAnsi="Cambria"/>
                <w:sz w:val="22"/>
                <w:szCs w:val="22"/>
              </w:rPr>
            </w:pPr>
            <w:r w:rsidRPr="003A655C">
              <w:rPr>
                <w:rFonts w:ascii="Cambria" w:eastAsia="Arial" w:hAnsi="Cambria" w:cs="Arial"/>
                <w:sz w:val="22"/>
                <w:szCs w:val="22"/>
              </w:rPr>
              <w:t>Independent Director</w:t>
            </w:r>
          </w:p>
        </w:tc>
      </w:tr>
      <w:tr w:rsidR="004172A1" w:rsidRPr="003A655C">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4172A1" w:rsidRPr="003A655C" w:rsidRDefault="003A655C" w:rsidP="003A655C">
            <w:pPr>
              <w:jc w:val="both"/>
              <w:rPr>
                <w:rFonts w:ascii="Cambria" w:hAnsi="Cambria"/>
                <w:sz w:val="22"/>
                <w:szCs w:val="22"/>
              </w:rPr>
            </w:pPr>
            <w:proofErr w:type="spellStart"/>
            <w:r w:rsidRPr="003A655C">
              <w:rPr>
                <w:rFonts w:ascii="Cambria" w:eastAsia="Arial" w:hAnsi="Cambria" w:cs="Arial"/>
                <w:sz w:val="22"/>
                <w:szCs w:val="22"/>
              </w:rPr>
              <w:t>Chitra</w:t>
            </w:r>
            <w:proofErr w:type="spellEnd"/>
            <w:r w:rsidRPr="003A655C">
              <w:rPr>
                <w:rFonts w:ascii="Cambria" w:eastAsia="Arial" w:hAnsi="Cambria" w:cs="Arial"/>
                <w:sz w:val="22"/>
                <w:szCs w:val="22"/>
              </w:rPr>
              <w:t xml:space="preserve"> Vijay </w:t>
            </w:r>
            <w:proofErr w:type="spellStart"/>
            <w:r w:rsidRPr="003A655C">
              <w:rPr>
                <w:rFonts w:ascii="Cambria" w:eastAsia="Arial" w:hAnsi="Cambria" w:cs="Arial"/>
                <w:sz w:val="22"/>
                <w:szCs w:val="22"/>
              </w:rPr>
              <w:t>Latkar</w:t>
            </w:r>
            <w:proofErr w:type="spellEnd"/>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4172A1" w:rsidRPr="003A655C" w:rsidRDefault="003A655C" w:rsidP="003A655C">
            <w:pPr>
              <w:jc w:val="both"/>
              <w:rPr>
                <w:rFonts w:ascii="Cambria" w:hAnsi="Cambria"/>
                <w:sz w:val="22"/>
                <w:szCs w:val="22"/>
              </w:rPr>
            </w:pPr>
            <w:r w:rsidRPr="003A655C">
              <w:rPr>
                <w:rFonts w:ascii="Cambria" w:eastAsia="Arial" w:hAnsi="Cambria" w:cs="Arial"/>
                <w:sz w:val="22"/>
                <w:szCs w:val="22"/>
              </w:rPr>
              <w:t>Member</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4172A1" w:rsidRPr="003A655C" w:rsidRDefault="003A655C" w:rsidP="003A655C">
            <w:pPr>
              <w:jc w:val="both"/>
              <w:rPr>
                <w:rFonts w:ascii="Cambria" w:hAnsi="Cambria"/>
                <w:sz w:val="22"/>
                <w:szCs w:val="22"/>
              </w:rPr>
            </w:pPr>
            <w:r w:rsidRPr="003A655C">
              <w:rPr>
                <w:rFonts w:ascii="Cambria" w:eastAsia="Arial" w:hAnsi="Cambria" w:cs="Arial"/>
                <w:sz w:val="22"/>
                <w:szCs w:val="22"/>
              </w:rPr>
              <w:t>Non-Executive Director</w:t>
            </w:r>
          </w:p>
        </w:tc>
      </w:tr>
    </w:tbl>
    <w:p w:rsidR="004172A1" w:rsidRPr="003A655C" w:rsidRDefault="004172A1" w:rsidP="003A655C">
      <w:pPr>
        <w:spacing w:before="160" w:after="80"/>
        <w:jc w:val="both"/>
        <w:rPr>
          <w:rFonts w:ascii="Cambria" w:hAnsi="Cambria"/>
          <w:sz w:val="22"/>
          <w:szCs w:val="22"/>
        </w:rPr>
      </w:pPr>
    </w:p>
    <w:p w:rsidR="004172A1" w:rsidRPr="003A655C" w:rsidRDefault="003A655C" w:rsidP="003A655C">
      <w:pPr>
        <w:spacing w:after="80"/>
        <w:jc w:val="both"/>
        <w:rPr>
          <w:rFonts w:ascii="Cambria" w:hAnsi="Cambria"/>
          <w:sz w:val="22"/>
          <w:szCs w:val="22"/>
        </w:rPr>
      </w:pPr>
      <w:r w:rsidRPr="003A655C">
        <w:rPr>
          <w:rFonts w:ascii="Cambria" w:eastAsia="Arial" w:hAnsi="Cambria" w:cs="Arial"/>
          <w:sz w:val="22"/>
          <w:szCs w:val="22"/>
        </w:rPr>
        <w:t xml:space="preserve">The Company Secretary of the Company shall act as a Secretary to the Nomination and Remuneration Committee. The Chairman of the Nomination and Remuneration Committee is entitled to attend the general Meeting of the company to furnish clarifications to the </w:t>
      </w:r>
      <w:r w:rsidRPr="003A655C">
        <w:rPr>
          <w:rFonts w:ascii="Cambria" w:eastAsia="Arial" w:hAnsi="Cambria" w:cs="Arial"/>
          <w:sz w:val="22"/>
          <w:szCs w:val="22"/>
        </w:rPr>
        <w:t>shareholders on any matter relating to remuneration.</w:t>
      </w:r>
    </w:p>
    <w:p w:rsidR="004172A1" w:rsidRPr="003A655C" w:rsidRDefault="003A655C" w:rsidP="003A655C">
      <w:pPr>
        <w:spacing w:before="200" w:after="80"/>
        <w:jc w:val="both"/>
        <w:rPr>
          <w:rFonts w:ascii="Cambria" w:hAnsi="Cambria"/>
          <w:sz w:val="22"/>
          <w:szCs w:val="22"/>
        </w:rPr>
      </w:pPr>
      <w:r w:rsidRPr="003A655C">
        <w:rPr>
          <w:rFonts w:ascii="Cambria" w:eastAsia="Arial" w:hAnsi="Cambria" w:cs="Arial"/>
          <w:b/>
          <w:bCs/>
          <w:sz w:val="22"/>
          <w:szCs w:val="22"/>
        </w:rPr>
        <w:t>A. Tenure of the Committee</w:t>
      </w:r>
    </w:p>
    <w:p w:rsidR="004172A1" w:rsidRPr="003A655C" w:rsidRDefault="003A655C" w:rsidP="003A655C">
      <w:pPr>
        <w:spacing w:after="80"/>
        <w:jc w:val="both"/>
        <w:rPr>
          <w:rFonts w:ascii="Cambria" w:hAnsi="Cambria"/>
          <w:sz w:val="22"/>
          <w:szCs w:val="22"/>
        </w:rPr>
      </w:pPr>
      <w:r w:rsidRPr="003A655C">
        <w:rPr>
          <w:rFonts w:ascii="Cambria" w:eastAsia="Arial" w:hAnsi="Cambria" w:cs="Arial"/>
          <w:sz w:val="22"/>
          <w:szCs w:val="22"/>
        </w:rPr>
        <w:t>The Nomination and Remuneration Committee shall continue to be in function as a committee of the Board until otherwise resolved by the Board.</w:t>
      </w:r>
    </w:p>
    <w:p w:rsidR="004172A1" w:rsidRPr="003A655C" w:rsidRDefault="003A655C" w:rsidP="003A655C">
      <w:pPr>
        <w:spacing w:before="200" w:after="80"/>
        <w:jc w:val="both"/>
        <w:rPr>
          <w:rFonts w:ascii="Cambria" w:hAnsi="Cambria"/>
          <w:sz w:val="22"/>
          <w:szCs w:val="22"/>
        </w:rPr>
      </w:pPr>
      <w:r w:rsidRPr="003A655C">
        <w:rPr>
          <w:rFonts w:ascii="Cambria" w:eastAsia="Arial" w:hAnsi="Cambria" w:cs="Arial"/>
          <w:b/>
          <w:bCs/>
          <w:sz w:val="22"/>
          <w:szCs w:val="22"/>
        </w:rPr>
        <w:t>B. Meetings of the Committee</w:t>
      </w:r>
    </w:p>
    <w:p w:rsidR="004172A1" w:rsidRPr="003A655C" w:rsidRDefault="003A655C" w:rsidP="003A655C">
      <w:pPr>
        <w:spacing w:after="80"/>
        <w:jc w:val="both"/>
        <w:rPr>
          <w:rFonts w:ascii="Cambria" w:hAnsi="Cambria"/>
          <w:sz w:val="22"/>
          <w:szCs w:val="22"/>
        </w:rPr>
      </w:pPr>
      <w:r w:rsidRPr="003A655C">
        <w:rPr>
          <w:rFonts w:ascii="Cambria" w:eastAsia="Arial" w:hAnsi="Cambria" w:cs="Arial"/>
          <w:sz w:val="22"/>
          <w:szCs w:val="22"/>
        </w:rPr>
        <w:t>The c</w:t>
      </w:r>
      <w:r w:rsidRPr="003A655C">
        <w:rPr>
          <w:rFonts w:ascii="Cambria" w:eastAsia="Arial" w:hAnsi="Cambria" w:cs="Arial"/>
          <w:sz w:val="22"/>
          <w:szCs w:val="22"/>
        </w:rPr>
        <w:t>ommittee shall meet as and when the need arises, subject to at least one meeting in a year. The quorum for the meeting shall be one third of the total strength of the committee or two members, whichever is greater, including at least one independent direct</w:t>
      </w:r>
      <w:r w:rsidRPr="003A655C">
        <w:rPr>
          <w:rFonts w:ascii="Cambria" w:eastAsia="Arial" w:hAnsi="Cambria" w:cs="Arial"/>
          <w:sz w:val="22"/>
          <w:szCs w:val="22"/>
        </w:rPr>
        <w:t>or in attendance.</w:t>
      </w:r>
    </w:p>
    <w:p w:rsidR="004172A1" w:rsidRPr="003A655C" w:rsidRDefault="003A655C" w:rsidP="003A655C">
      <w:pPr>
        <w:spacing w:before="200" w:after="80"/>
        <w:jc w:val="both"/>
        <w:rPr>
          <w:rFonts w:ascii="Cambria" w:hAnsi="Cambria"/>
          <w:sz w:val="22"/>
          <w:szCs w:val="22"/>
        </w:rPr>
      </w:pPr>
      <w:r w:rsidRPr="003A655C">
        <w:rPr>
          <w:rFonts w:ascii="Cambria" w:eastAsia="Arial" w:hAnsi="Cambria" w:cs="Arial"/>
          <w:b/>
          <w:bCs/>
          <w:sz w:val="22"/>
          <w:szCs w:val="22"/>
        </w:rPr>
        <w:t>C. Scope and Terms of Reference</w:t>
      </w:r>
    </w:p>
    <w:p w:rsidR="004172A1" w:rsidRPr="003A655C" w:rsidRDefault="003A655C" w:rsidP="003A655C">
      <w:pPr>
        <w:spacing w:after="80"/>
        <w:jc w:val="both"/>
        <w:rPr>
          <w:rFonts w:ascii="Cambria" w:hAnsi="Cambria"/>
          <w:sz w:val="22"/>
          <w:szCs w:val="22"/>
        </w:rPr>
      </w:pPr>
      <w:r w:rsidRPr="003A655C">
        <w:rPr>
          <w:rFonts w:ascii="Cambria" w:eastAsia="Arial" w:hAnsi="Cambria" w:cs="Arial"/>
          <w:sz w:val="22"/>
          <w:szCs w:val="22"/>
        </w:rPr>
        <w:t>The terms of reference of the Nomination and Remuneration Committee as per Regulation 19 and Part D of Schedule II of SEBI Listing</w:t>
      </w:r>
      <w:bookmarkStart w:id="0" w:name="_GoBack"/>
      <w:bookmarkEnd w:id="0"/>
      <w:r w:rsidRPr="003A655C">
        <w:rPr>
          <w:rFonts w:ascii="Cambria" w:eastAsia="Arial" w:hAnsi="Cambria" w:cs="Arial"/>
          <w:sz w:val="22"/>
          <w:szCs w:val="22"/>
        </w:rPr>
        <w:t xml:space="preserve"> Regulations and Companies Act, 2013 shall be as under:</w:t>
      </w:r>
    </w:p>
    <w:p w:rsidR="004172A1" w:rsidRPr="003A655C" w:rsidRDefault="003A655C" w:rsidP="003A655C">
      <w:pPr>
        <w:pStyle w:val="ListParagraph"/>
        <w:numPr>
          <w:ilvl w:val="0"/>
          <w:numId w:val="2"/>
        </w:numPr>
        <w:spacing w:after="60"/>
        <w:jc w:val="both"/>
        <w:rPr>
          <w:rFonts w:ascii="Cambria" w:hAnsi="Cambria"/>
          <w:sz w:val="22"/>
          <w:szCs w:val="22"/>
        </w:rPr>
      </w:pPr>
      <w:r w:rsidRPr="003A655C">
        <w:rPr>
          <w:rFonts w:ascii="Cambria" w:eastAsia="Arial" w:hAnsi="Cambria" w:cs="Arial"/>
          <w:sz w:val="22"/>
          <w:szCs w:val="22"/>
        </w:rPr>
        <w:t>Formulating the criteria for determining qualifications, positive attributes and independence of a director and recommend to the Board a policy relating to the remuneration of the directors, key managerial personnel and other employees;</w:t>
      </w:r>
    </w:p>
    <w:p w:rsidR="004172A1" w:rsidRPr="003A655C" w:rsidRDefault="003A655C" w:rsidP="003A655C">
      <w:pPr>
        <w:pStyle w:val="ListParagraph"/>
        <w:numPr>
          <w:ilvl w:val="0"/>
          <w:numId w:val="2"/>
        </w:numPr>
        <w:spacing w:after="60"/>
        <w:jc w:val="both"/>
        <w:rPr>
          <w:rFonts w:ascii="Cambria" w:hAnsi="Cambria"/>
          <w:sz w:val="22"/>
          <w:szCs w:val="22"/>
        </w:rPr>
      </w:pPr>
      <w:r w:rsidRPr="003A655C">
        <w:rPr>
          <w:rFonts w:ascii="Cambria" w:eastAsia="Arial" w:hAnsi="Cambria" w:cs="Arial"/>
          <w:sz w:val="22"/>
          <w:szCs w:val="22"/>
        </w:rPr>
        <w:t>For the appointment</w:t>
      </w:r>
      <w:r w:rsidRPr="003A655C">
        <w:rPr>
          <w:rFonts w:ascii="Cambria" w:eastAsia="Arial" w:hAnsi="Cambria" w:cs="Arial"/>
          <w:sz w:val="22"/>
          <w:szCs w:val="22"/>
        </w:rPr>
        <w:t xml:space="preserve"> of an independent director, evaluating the balance of skills, knowledge and experience on the Board; preparing a description of the role and capabilities required; identifying suitable candidates using external agencies if required, considering candidates</w:t>
      </w:r>
      <w:r w:rsidRPr="003A655C">
        <w:rPr>
          <w:rFonts w:ascii="Cambria" w:eastAsia="Arial" w:hAnsi="Cambria" w:cs="Arial"/>
          <w:sz w:val="22"/>
          <w:szCs w:val="22"/>
        </w:rPr>
        <w:t xml:space="preserve"> from a wide range of backgrounds and considering time commitments of the candidates;</w:t>
      </w:r>
    </w:p>
    <w:p w:rsidR="004172A1" w:rsidRPr="003A655C" w:rsidRDefault="003A655C" w:rsidP="003A655C">
      <w:pPr>
        <w:pStyle w:val="ListParagraph"/>
        <w:numPr>
          <w:ilvl w:val="0"/>
          <w:numId w:val="2"/>
        </w:numPr>
        <w:spacing w:after="60"/>
        <w:jc w:val="both"/>
        <w:rPr>
          <w:rFonts w:ascii="Cambria" w:hAnsi="Cambria"/>
          <w:sz w:val="22"/>
          <w:szCs w:val="22"/>
        </w:rPr>
      </w:pPr>
      <w:r w:rsidRPr="003A655C">
        <w:rPr>
          <w:rFonts w:ascii="Cambria" w:eastAsia="Arial" w:hAnsi="Cambria" w:cs="Arial"/>
          <w:sz w:val="22"/>
          <w:szCs w:val="22"/>
        </w:rPr>
        <w:t>Formulation of criteria for evaluation of the performance of independent directors and the Board;</w:t>
      </w:r>
    </w:p>
    <w:p w:rsidR="004172A1" w:rsidRPr="003A655C" w:rsidRDefault="003A655C" w:rsidP="003A655C">
      <w:pPr>
        <w:pStyle w:val="ListParagraph"/>
        <w:numPr>
          <w:ilvl w:val="0"/>
          <w:numId w:val="2"/>
        </w:numPr>
        <w:spacing w:after="60"/>
        <w:jc w:val="both"/>
        <w:rPr>
          <w:rFonts w:ascii="Cambria" w:hAnsi="Cambria"/>
          <w:sz w:val="22"/>
          <w:szCs w:val="22"/>
        </w:rPr>
      </w:pPr>
      <w:r w:rsidRPr="003A655C">
        <w:rPr>
          <w:rFonts w:ascii="Cambria" w:eastAsia="Arial" w:hAnsi="Cambria" w:cs="Arial"/>
          <w:sz w:val="22"/>
          <w:szCs w:val="22"/>
        </w:rPr>
        <w:t>Devising a policy on diversity of our Board;</w:t>
      </w:r>
    </w:p>
    <w:p w:rsidR="004172A1" w:rsidRPr="003A655C" w:rsidRDefault="003A655C" w:rsidP="003A655C">
      <w:pPr>
        <w:pStyle w:val="ListParagraph"/>
        <w:numPr>
          <w:ilvl w:val="0"/>
          <w:numId w:val="2"/>
        </w:numPr>
        <w:spacing w:after="60"/>
        <w:jc w:val="both"/>
        <w:rPr>
          <w:rFonts w:ascii="Cambria" w:hAnsi="Cambria"/>
          <w:sz w:val="22"/>
          <w:szCs w:val="22"/>
        </w:rPr>
      </w:pPr>
      <w:r w:rsidRPr="003A655C">
        <w:rPr>
          <w:rFonts w:ascii="Cambria" w:eastAsia="Arial" w:hAnsi="Cambria" w:cs="Arial"/>
          <w:sz w:val="22"/>
          <w:szCs w:val="22"/>
        </w:rPr>
        <w:lastRenderedPageBreak/>
        <w:t>Identifying persons who are</w:t>
      </w:r>
      <w:r w:rsidRPr="003A655C">
        <w:rPr>
          <w:rFonts w:ascii="Cambria" w:eastAsia="Arial" w:hAnsi="Cambria" w:cs="Arial"/>
          <w:sz w:val="22"/>
          <w:szCs w:val="22"/>
        </w:rPr>
        <w:t xml:space="preserve"> qualified to become directors or who may be appointed in senior management in accordance with the criteria laid down, recommending to the Board their appointment and removal and carrying out evaluation of every director's performance;</w:t>
      </w:r>
    </w:p>
    <w:p w:rsidR="004172A1" w:rsidRPr="003A655C" w:rsidRDefault="003A655C" w:rsidP="003A655C">
      <w:pPr>
        <w:pStyle w:val="ListParagraph"/>
        <w:numPr>
          <w:ilvl w:val="0"/>
          <w:numId w:val="2"/>
        </w:numPr>
        <w:spacing w:after="60"/>
        <w:jc w:val="both"/>
        <w:rPr>
          <w:rFonts w:ascii="Cambria" w:hAnsi="Cambria"/>
          <w:sz w:val="22"/>
          <w:szCs w:val="22"/>
        </w:rPr>
      </w:pPr>
      <w:r w:rsidRPr="003A655C">
        <w:rPr>
          <w:rFonts w:ascii="Cambria" w:eastAsia="Arial" w:hAnsi="Cambria" w:cs="Arial"/>
          <w:sz w:val="22"/>
          <w:szCs w:val="22"/>
        </w:rPr>
        <w:t xml:space="preserve">Determining whether </w:t>
      </w:r>
      <w:r w:rsidRPr="003A655C">
        <w:rPr>
          <w:rFonts w:ascii="Cambria" w:eastAsia="Arial" w:hAnsi="Cambria" w:cs="Arial"/>
          <w:sz w:val="22"/>
          <w:szCs w:val="22"/>
        </w:rPr>
        <w:t>to extend or continue the term of appointment of the independent director, on the basis of the report of performance evaluation;</w:t>
      </w:r>
    </w:p>
    <w:p w:rsidR="004172A1" w:rsidRPr="003A655C" w:rsidRDefault="003A655C" w:rsidP="003A655C">
      <w:pPr>
        <w:pStyle w:val="ListParagraph"/>
        <w:numPr>
          <w:ilvl w:val="0"/>
          <w:numId w:val="2"/>
        </w:numPr>
        <w:spacing w:after="60"/>
        <w:jc w:val="both"/>
        <w:rPr>
          <w:rFonts w:ascii="Cambria" w:hAnsi="Cambria"/>
          <w:sz w:val="22"/>
          <w:szCs w:val="22"/>
        </w:rPr>
      </w:pPr>
      <w:r w:rsidRPr="003A655C">
        <w:rPr>
          <w:rFonts w:ascii="Cambria" w:eastAsia="Arial" w:hAnsi="Cambria" w:cs="Arial"/>
          <w:sz w:val="22"/>
          <w:szCs w:val="22"/>
        </w:rPr>
        <w:t>Recommending remuneration of executive directors and any increase therein from time to time within the limit approved by the me</w:t>
      </w:r>
      <w:r w:rsidRPr="003A655C">
        <w:rPr>
          <w:rFonts w:ascii="Cambria" w:eastAsia="Arial" w:hAnsi="Cambria" w:cs="Arial"/>
          <w:sz w:val="22"/>
          <w:szCs w:val="22"/>
        </w:rPr>
        <w:t>mbers of our Company;</w:t>
      </w:r>
    </w:p>
    <w:p w:rsidR="004172A1" w:rsidRPr="003A655C" w:rsidRDefault="003A655C" w:rsidP="003A655C">
      <w:pPr>
        <w:pStyle w:val="ListParagraph"/>
        <w:numPr>
          <w:ilvl w:val="0"/>
          <w:numId w:val="2"/>
        </w:numPr>
        <w:spacing w:after="60"/>
        <w:jc w:val="both"/>
        <w:rPr>
          <w:rFonts w:ascii="Cambria" w:hAnsi="Cambria"/>
          <w:sz w:val="22"/>
          <w:szCs w:val="22"/>
        </w:rPr>
      </w:pPr>
      <w:r w:rsidRPr="003A655C">
        <w:rPr>
          <w:rFonts w:ascii="Cambria" w:eastAsia="Arial" w:hAnsi="Cambria" w:cs="Arial"/>
          <w:sz w:val="22"/>
          <w:szCs w:val="22"/>
        </w:rPr>
        <w:t>Recommending remuneration to non-executive directors in the form of sitting fees for attending meetings of the Board and its committees, remuneration for other services, commission on profits;</w:t>
      </w:r>
    </w:p>
    <w:p w:rsidR="004172A1" w:rsidRPr="003A655C" w:rsidRDefault="003A655C" w:rsidP="003A655C">
      <w:pPr>
        <w:pStyle w:val="ListParagraph"/>
        <w:numPr>
          <w:ilvl w:val="0"/>
          <w:numId w:val="2"/>
        </w:numPr>
        <w:spacing w:after="60"/>
        <w:jc w:val="both"/>
        <w:rPr>
          <w:rFonts w:ascii="Cambria" w:hAnsi="Cambria"/>
          <w:sz w:val="22"/>
          <w:szCs w:val="22"/>
        </w:rPr>
      </w:pPr>
      <w:r w:rsidRPr="003A655C">
        <w:rPr>
          <w:rFonts w:ascii="Cambria" w:eastAsia="Arial" w:hAnsi="Cambria" w:cs="Arial"/>
          <w:sz w:val="22"/>
          <w:szCs w:val="22"/>
        </w:rPr>
        <w:t>Recommending to the Board, all remunerati</w:t>
      </w:r>
      <w:r w:rsidRPr="003A655C">
        <w:rPr>
          <w:rFonts w:ascii="Cambria" w:eastAsia="Arial" w:hAnsi="Cambria" w:cs="Arial"/>
          <w:sz w:val="22"/>
          <w:szCs w:val="22"/>
        </w:rPr>
        <w:t>on, in whatever form, payable to senior management;</w:t>
      </w:r>
    </w:p>
    <w:p w:rsidR="004172A1" w:rsidRPr="003A655C" w:rsidRDefault="003A655C" w:rsidP="003A655C">
      <w:pPr>
        <w:pStyle w:val="ListParagraph"/>
        <w:numPr>
          <w:ilvl w:val="0"/>
          <w:numId w:val="2"/>
        </w:numPr>
        <w:spacing w:after="60"/>
        <w:jc w:val="both"/>
        <w:rPr>
          <w:rFonts w:ascii="Cambria" w:hAnsi="Cambria"/>
          <w:sz w:val="22"/>
          <w:szCs w:val="22"/>
        </w:rPr>
      </w:pPr>
      <w:r w:rsidRPr="003A655C">
        <w:rPr>
          <w:rFonts w:ascii="Cambria" w:eastAsia="Arial" w:hAnsi="Cambria" w:cs="Arial"/>
          <w:sz w:val="22"/>
          <w:szCs w:val="22"/>
        </w:rPr>
        <w:t>Performing such functions as are required to be performed by the compensation committee under the SEBI (Share Based Employee Benefits and Sweat Equity) Regulations, 2021, as amended;</w:t>
      </w:r>
    </w:p>
    <w:p w:rsidR="004172A1" w:rsidRPr="003A655C" w:rsidRDefault="003A655C" w:rsidP="003A655C">
      <w:pPr>
        <w:pStyle w:val="ListParagraph"/>
        <w:numPr>
          <w:ilvl w:val="0"/>
          <w:numId w:val="2"/>
        </w:numPr>
        <w:spacing w:after="60"/>
        <w:jc w:val="both"/>
        <w:rPr>
          <w:rFonts w:ascii="Cambria" w:hAnsi="Cambria"/>
          <w:sz w:val="22"/>
          <w:szCs w:val="22"/>
        </w:rPr>
      </w:pPr>
      <w:r w:rsidRPr="003A655C">
        <w:rPr>
          <w:rFonts w:ascii="Cambria" w:eastAsia="Arial" w:hAnsi="Cambria" w:cs="Arial"/>
          <w:sz w:val="22"/>
          <w:szCs w:val="22"/>
        </w:rPr>
        <w:t>Engaging the services of any consultant/professional or other agency for the purpose of recommending compensation structure/policy;</w:t>
      </w:r>
    </w:p>
    <w:p w:rsidR="004172A1" w:rsidRPr="003A655C" w:rsidRDefault="003A655C" w:rsidP="003A655C">
      <w:pPr>
        <w:pStyle w:val="ListParagraph"/>
        <w:numPr>
          <w:ilvl w:val="0"/>
          <w:numId w:val="2"/>
        </w:numPr>
        <w:spacing w:after="60"/>
        <w:jc w:val="both"/>
        <w:rPr>
          <w:rFonts w:ascii="Cambria" w:hAnsi="Cambria"/>
          <w:sz w:val="22"/>
          <w:szCs w:val="22"/>
        </w:rPr>
      </w:pPr>
      <w:proofErr w:type="spellStart"/>
      <w:r w:rsidRPr="003A655C">
        <w:rPr>
          <w:rFonts w:ascii="Cambria" w:eastAsia="Arial" w:hAnsi="Cambria" w:cs="Arial"/>
          <w:sz w:val="22"/>
          <w:szCs w:val="22"/>
        </w:rPr>
        <w:t>Analyzing</w:t>
      </w:r>
      <w:proofErr w:type="spellEnd"/>
      <w:r w:rsidRPr="003A655C">
        <w:rPr>
          <w:rFonts w:ascii="Cambria" w:eastAsia="Arial" w:hAnsi="Cambria" w:cs="Arial"/>
          <w:sz w:val="22"/>
          <w:szCs w:val="22"/>
        </w:rPr>
        <w:t>, monitoring and reviewing various human resource and compensation matters;</w:t>
      </w:r>
    </w:p>
    <w:p w:rsidR="004172A1" w:rsidRPr="003A655C" w:rsidRDefault="003A655C" w:rsidP="003A655C">
      <w:pPr>
        <w:pStyle w:val="ListParagraph"/>
        <w:numPr>
          <w:ilvl w:val="0"/>
          <w:numId w:val="2"/>
        </w:numPr>
        <w:spacing w:after="60"/>
        <w:jc w:val="both"/>
        <w:rPr>
          <w:rFonts w:ascii="Cambria" w:hAnsi="Cambria"/>
          <w:sz w:val="22"/>
          <w:szCs w:val="22"/>
        </w:rPr>
      </w:pPr>
      <w:r w:rsidRPr="003A655C">
        <w:rPr>
          <w:rFonts w:ascii="Cambria" w:eastAsia="Arial" w:hAnsi="Cambria" w:cs="Arial"/>
          <w:sz w:val="22"/>
          <w:szCs w:val="22"/>
        </w:rPr>
        <w:t>Reviewing and approving compensation st</w:t>
      </w:r>
      <w:r w:rsidRPr="003A655C">
        <w:rPr>
          <w:rFonts w:ascii="Cambria" w:eastAsia="Arial" w:hAnsi="Cambria" w:cs="Arial"/>
          <w:sz w:val="22"/>
          <w:szCs w:val="22"/>
        </w:rPr>
        <w:t>rategy from time to time in the context of the then current Indian market in accordance with applicable laws;</w:t>
      </w:r>
    </w:p>
    <w:p w:rsidR="004172A1" w:rsidRPr="003A655C" w:rsidRDefault="003A655C" w:rsidP="003A655C">
      <w:pPr>
        <w:pStyle w:val="ListParagraph"/>
        <w:numPr>
          <w:ilvl w:val="0"/>
          <w:numId w:val="2"/>
        </w:numPr>
        <w:spacing w:after="60"/>
        <w:jc w:val="both"/>
        <w:rPr>
          <w:rFonts w:ascii="Cambria" w:hAnsi="Cambria"/>
          <w:sz w:val="22"/>
          <w:szCs w:val="22"/>
        </w:rPr>
      </w:pPr>
      <w:r w:rsidRPr="003A655C">
        <w:rPr>
          <w:rFonts w:ascii="Cambria" w:eastAsia="Arial" w:hAnsi="Cambria" w:cs="Arial"/>
          <w:sz w:val="22"/>
          <w:szCs w:val="22"/>
        </w:rPr>
        <w:t>Framing suitable policies and systems to ensure that there is no violation by an employee of any applicable laws in India or overseas, including S</w:t>
      </w:r>
      <w:r w:rsidRPr="003A655C">
        <w:rPr>
          <w:rFonts w:ascii="Cambria" w:eastAsia="Arial" w:hAnsi="Cambria" w:cs="Arial"/>
          <w:sz w:val="22"/>
          <w:szCs w:val="22"/>
        </w:rPr>
        <w:t>EBI (Prohibition of Insider Trading) Regulations, 2015 and SEBI (Prohibition of Fraudulent and Unfair Trade Practices) Regulations, 2003; and</w:t>
      </w:r>
    </w:p>
    <w:p w:rsidR="004172A1" w:rsidRPr="003A655C" w:rsidRDefault="003A655C" w:rsidP="003A655C">
      <w:pPr>
        <w:pStyle w:val="ListParagraph"/>
        <w:numPr>
          <w:ilvl w:val="0"/>
          <w:numId w:val="2"/>
        </w:numPr>
        <w:spacing w:after="60"/>
        <w:jc w:val="both"/>
        <w:rPr>
          <w:rFonts w:ascii="Cambria" w:hAnsi="Cambria"/>
          <w:sz w:val="22"/>
          <w:szCs w:val="22"/>
        </w:rPr>
      </w:pPr>
      <w:r w:rsidRPr="003A655C">
        <w:rPr>
          <w:rFonts w:ascii="Cambria" w:eastAsia="Arial" w:hAnsi="Cambria" w:cs="Arial"/>
          <w:sz w:val="22"/>
          <w:szCs w:val="22"/>
        </w:rPr>
        <w:t>Performing such other functions as may be delegated by the Board and/or prescribed under the SEBI Listing Regulati</w:t>
      </w:r>
      <w:r w:rsidRPr="003A655C">
        <w:rPr>
          <w:rFonts w:ascii="Cambria" w:eastAsia="Arial" w:hAnsi="Cambria" w:cs="Arial"/>
          <w:sz w:val="22"/>
          <w:szCs w:val="22"/>
        </w:rPr>
        <w:t>ons, Companies Act, each as amended or other applicable law.</w:t>
      </w:r>
    </w:p>
    <w:sectPr w:rsidR="004172A1" w:rsidRPr="003A655C">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A52B2"/>
    <w:multiLevelType w:val="hybridMultilevel"/>
    <w:tmpl w:val="5CCC71B2"/>
    <w:lvl w:ilvl="0" w:tplc="4F5CD934">
      <w:start w:val="1"/>
      <w:numFmt w:val="bullet"/>
      <w:lvlText w:val="●"/>
      <w:lvlJc w:val="left"/>
      <w:pPr>
        <w:ind w:left="720" w:hanging="360"/>
      </w:pPr>
    </w:lvl>
    <w:lvl w:ilvl="1" w:tplc="3320AE4E">
      <w:start w:val="1"/>
      <w:numFmt w:val="bullet"/>
      <w:lvlText w:val="○"/>
      <w:lvlJc w:val="left"/>
      <w:pPr>
        <w:ind w:left="1440" w:hanging="360"/>
      </w:pPr>
    </w:lvl>
    <w:lvl w:ilvl="2" w:tplc="9D228BA4">
      <w:start w:val="1"/>
      <w:numFmt w:val="bullet"/>
      <w:lvlText w:val="■"/>
      <w:lvlJc w:val="left"/>
      <w:pPr>
        <w:ind w:left="2160" w:hanging="360"/>
      </w:pPr>
    </w:lvl>
    <w:lvl w:ilvl="3" w:tplc="81AC4772">
      <w:start w:val="1"/>
      <w:numFmt w:val="bullet"/>
      <w:lvlText w:val="●"/>
      <w:lvlJc w:val="left"/>
      <w:pPr>
        <w:ind w:left="2880" w:hanging="360"/>
      </w:pPr>
    </w:lvl>
    <w:lvl w:ilvl="4" w:tplc="33B8770C">
      <w:start w:val="1"/>
      <w:numFmt w:val="bullet"/>
      <w:lvlText w:val="○"/>
      <w:lvlJc w:val="left"/>
      <w:pPr>
        <w:ind w:left="3600" w:hanging="360"/>
      </w:pPr>
    </w:lvl>
    <w:lvl w:ilvl="5" w:tplc="90E66778">
      <w:start w:val="1"/>
      <w:numFmt w:val="bullet"/>
      <w:lvlText w:val="■"/>
      <w:lvlJc w:val="left"/>
      <w:pPr>
        <w:ind w:left="4320" w:hanging="360"/>
      </w:pPr>
    </w:lvl>
    <w:lvl w:ilvl="6" w:tplc="C1542F4A">
      <w:start w:val="1"/>
      <w:numFmt w:val="bullet"/>
      <w:lvlText w:val="●"/>
      <w:lvlJc w:val="left"/>
      <w:pPr>
        <w:ind w:left="5040" w:hanging="360"/>
      </w:pPr>
    </w:lvl>
    <w:lvl w:ilvl="7" w:tplc="84B0DF42">
      <w:start w:val="1"/>
      <w:numFmt w:val="bullet"/>
      <w:lvlText w:val="●"/>
      <w:lvlJc w:val="left"/>
      <w:pPr>
        <w:ind w:left="5760" w:hanging="360"/>
      </w:pPr>
    </w:lvl>
    <w:lvl w:ilvl="8" w:tplc="843EA55A">
      <w:start w:val="1"/>
      <w:numFmt w:val="bullet"/>
      <w:lvlText w:val="●"/>
      <w:lvlJc w:val="left"/>
      <w:pPr>
        <w:ind w:left="6480" w:hanging="360"/>
      </w:pPr>
    </w:lvl>
  </w:abstractNum>
  <w:abstractNum w:abstractNumId="1" w15:restartNumberingAfterBreak="0">
    <w:nsid w:val="1B024A59"/>
    <w:multiLevelType w:val="hybridMultilevel"/>
    <w:tmpl w:val="DDC68BFC"/>
    <w:lvl w:ilvl="0" w:tplc="C16E2EDA">
      <w:start w:val="1"/>
      <w:numFmt w:val="bullet"/>
      <w:lvlText w:val="•"/>
      <w:lvlJc w:val="left"/>
      <w:pPr>
        <w:ind w:left="720" w:hanging="360"/>
      </w:pPr>
    </w:lvl>
    <w:lvl w:ilvl="1" w:tplc="EA94ADA6">
      <w:numFmt w:val="decimal"/>
      <w:lvlText w:val=""/>
      <w:lvlJc w:val="left"/>
    </w:lvl>
    <w:lvl w:ilvl="2" w:tplc="6D106BDA">
      <w:numFmt w:val="decimal"/>
      <w:lvlText w:val=""/>
      <w:lvlJc w:val="left"/>
    </w:lvl>
    <w:lvl w:ilvl="3" w:tplc="0A944870">
      <w:numFmt w:val="decimal"/>
      <w:lvlText w:val=""/>
      <w:lvlJc w:val="left"/>
    </w:lvl>
    <w:lvl w:ilvl="4" w:tplc="54F4AA1C">
      <w:numFmt w:val="decimal"/>
      <w:lvlText w:val=""/>
      <w:lvlJc w:val="left"/>
    </w:lvl>
    <w:lvl w:ilvl="5" w:tplc="A208A830">
      <w:numFmt w:val="decimal"/>
      <w:lvlText w:val=""/>
      <w:lvlJc w:val="left"/>
    </w:lvl>
    <w:lvl w:ilvl="6" w:tplc="D39CA6F8">
      <w:numFmt w:val="decimal"/>
      <w:lvlText w:val=""/>
      <w:lvlJc w:val="left"/>
    </w:lvl>
    <w:lvl w:ilvl="7" w:tplc="1F265E4C">
      <w:numFmt w:val="decimal"/>
      <w:lvlText w:val=""/>
      <w:lvlJc w:val="left"/>
    </w:lvl>
    <w:lvl w:ilvl="8" w:tplc="20DE50D6">
      <w:numFmt w:val="decimal"/>
      <w:lvlText w:val=""/>
      <w:lvlJc w:val="left"/>
    </w:lvl>
  </w:abstractNum>
  <w:abstractNum w:abstractNumId="2" w15:restartNumberingAfterBreak="0">
    <w:nsid w:val="4F251663"/>
    <w:multiLevelType w:val="hybridMultilevel"/>
    <w:tmpl w:val="F6D4EA06"/>
    <w:lvl w:ilvl="0" w:tplc="94B8F1AA">
      <w:start w:val="1"/>
      <w:numFmt w:val="lowerLetter"/>
      <w:lvlText w:val="%1."/>
      <w:lvlJc w:val="left"/>
      <w:pPr>
        <w:ind w:left="1080" w:hanging="360"/>
      </w:pPr>
    </w:lvl>
    <w:lvl w:ilvl="1" w:tplc="9D64A792">
      <w:numFmt w:val="decimal"/>
      <w:lvlText w:val=""/>
      <w:lvlJc w:val="left"/>
    </w:lvl>
    <w:lvl w:ilvl="2" w:tplc="07C45F2A">
      <w:numFmt w:val="decimal"/>
      <w:lvlText w:val=""/>
      <w:lvlJc w:val="left"/>
    </w:lvl>
    <w:lvl w:ilvl="3" w:tplc="3E2A3D60">
      <w:numFmt w:val="decimal"/>
      <w:lvlText w:val=""/>
      <w:lvlJc w:val="left"/>
    </w:lvl>
    <w:lvl w:ilvl="4" w:tplc="18EC7BCE">
      <w:numFmt w:val="decimal"/>
      <w:lvlText w:val=""/>
      <w:lvlJc w:val="left"/>
    </w:lvl>
    <w:lvl w:ilvl="5" w:tplc="1504915C">
      <w:numFmt w:val="decimal"/>
      <w:lvlText w:val=""/>
      <w:lvlJc w:val="left"/>
    </w:lvl>
    <w:lvl w:ilvl="6" w:tplc="15A84100">
      <w:numFmt w:val="decimal"/>
      <w:lvlText w:val=""/>
      <w:lvlJc w:val="left"/>
    </w:lvl>
    <w:lvl w:ilvl="7" w:tplc="2B4A442A">
      <w:numFmt w:val="decimal"/>
      <w:lvlText w:val=""/>
      <w:lvlJc w:val="left"/>
    </w:lvl>
    <w:lvl w:ilvl="8" w:tplc="7FB25C90">
      <w:numFmt w:val="decimal"/>
      <w:lvlText w:val=""/>
      <w:lvlJc w:val="left"/>
    </w:lvl>
  </w:abstractNum>
  <w:abstractNum w:abstractNumId="3" w15:restartNumberingAfterBreak="0">
    <w:nsid w:val="736D60C0"/>
    <w:multiLevelType w:val="hybridMultilevel"/>
    <w:tmpl w:val="DB6A148C"/>
    <w:lvl w:ilvl="0" w:tplc="915A8B8E">
      <w:start w:val="1"/>
      <w:numFmt w:val="decimal"/>
      <w:lvlText w:val="%1."/>
      <w:lvlJc w:val="left"/>
      <w:pPr>
        <w:ind w:left="720" w:hanging="360"/>
      </w:pPr>
    </w:lvl>
    <w:lvl w:ilvl="1" w:tplc="65222C9A">
      <w:numFmt w:val="decimal"/>
      <w:lvlText w:val=""/>
      <w:lvlJc w:val="left"/>
    </w:lvl>
    <w:lvl w:ilvl="2" w:tplc="6D9EA848">
      <w:numFmt w:val="decimal"/>
      <w:lvlText w:val=""/>
      <w:lvlJc w:val="left"/>
    </w:lvl>
    <w:lvl w:ilvl="3" w:tplc="52086112">
      <w:numFmt w:val="decimal"/>
      <w:lvlText w:val=""/>
      <w:lvlJc w:val="left"/>
    </w:lvl>
    <w:lvl w:ilvl="4" w:tplc="85C08EA0">
      <w:numFmt w:val="decimal"/>
      <w:lvlText w:val=""/>
      <w:lvlJc w:val="left"/>
    </w:lvl>
    <w:lvl w:ilvl="5" w:tplc="0E4006E0">
      <w:numFmt w:val="decimal"/>
      <w:lvlText w:val=""/>
      <w:lvlJc w:val="left"/>
    </w:lvl>
    <w:lvl w:ilvl="6" w:tplc="247E6B82">
      <w:numFmt w:val="decimal"/>
      <w:lvlText w:val=""/>
      <w:lvlJc w:val="left"/>
    </w:lvl>
    <w:lvl w:ilvl="7" w:tplc="C18A6C8C">
      <w:numFmt w:val="decimal"/>
      <w:lvlText w:val=""/>
      <w:lvlJc w:val="left"/>
    </w:lvl>
    <w:lvl w:ilvl="8" w:tplc="D8AE4ADC">
      <w:numFmt w:val="decimal"/>
      <w:lvlText w:val=""/>
      <w:lvlJc w:val="left"/>
    </w:lvl>
  </w:abstractNum>
  <w:num w:numId="1">
    <w:abstractNumId w:val="0"/>
    <w:lvlOverride w:ilvl="0">
      <w:startOverride w:val="1"/>
    </w:lvlOverride>
  </w:num>
  <w:num w:numId="2">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2A1"/>
    <w:rsid w:val="003A655C"/>
    <w:rsid w:val="004172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4D7EF"/>
  <w15:docId w15:val="{44B48EC5-80BF-4013-B469-DF3E29F2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3677</Characters>
  <Application>Microsoft Office Word</Application>
  <DocSecurity>0</DocSecurity>
  <Lines>30</Lines>
  <Paragraphs>8</Paragraphs>
  <ScaleCrop>false</ScaleCrop>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Aditya</cp:lastModifiedBy>
  <cp:revision>2</cp:revision>
  <dcterms:created xsi:type="dcterms:W3CDTF">2026-05-26T11:18:00Z</dcterms:created>
  <dcterms:modified xsi:type="dcterms:W3CDTF">2026-05-26T11:20:00Z</dcterms:modified>
</cp:coreProperties>
</file>